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76F8" w14:textId="77777777" w:rsidR="00D428B4" w:rsidRDefault="00D428B4" w:rsidP="008C6531">
      <w:pPr>
        <w:pStyle w:val="Heading2"/>
        <w:spacing w:line="244" w:lineRule="exact"/>
        <w:rPr>
          <w:sz w:val="12"/>
          <w:szCs w:val="12"/>
        </w:rPr>
      </w:pPr>
    </w:p>
    <w:p w14:paraId="2536E741" w14:textId="77777777" w:rsidR="0047701D" w:rsidRDefault="0047701D" w:rsidP="008C6531">
      <w:pPr>
        <w:pStyle w:val="Heading2"/>
        <w:spacing w:line="244" w:lineRule="exact"/>
        <w:rPr>
          <w:sz w:val="12"/>
          <w:szCs w:val="12"/>
        </w:rPr>
      </w:pPr>
    </w:p>
    <w:p w14:paraId="46527650" w14:textId="77777777" w:rsidR="003C5075" w:rsidRDefault="003C5075" w:rsidP="008C6531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6491C2C3" w14:textId="20E68821" w:rsidR="008C6531" w:rsidRPr="00EE78D6" w:rsidRDefault="00151B78" w:rsidP="008C6531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151B78">
        <w:rPr>
          <w:rFonts w:ascii="Century Gothic" w:hAnsi="Century Gothic"/>
          <w:b/>
          <w:bCs/>
          <w:color w:val="231F20"/>
          <w:sz w:val="24"/>
          <w:szCs w:val="24"/>
        </w:rPr>
        <w:t>42670 Master of Economics</w:t>
      </w:r>
      <w:r w:rsidR="007C315F" w:rsidRPr="00765432">
        <w:rPr>
          <w:rFonts w:ascii="Century Gothic" w:hAnsi="Century Gothic"/>
          <w:b/>
          <w:bCs/>
          <w:color w:val="FF0000"/>
          <w:sz w:val="24"/>
          <w:szCs w:val="24"/>
        </w:rPr>
        <w:t xml:space="preserve"> </w:t>
      </w:r>
      <w:r w:rsidR="008C6531" w:rsidRPr="007C315F">
        <w:rPr>
          <w:rFonts w:ascii="Century Gothic" w:hAnsi="Century Gothic"/>
          <w:b/>
          <w:bCs/>
          <w:color w:val="231F20"/>
          <w:sz w:val="24"/>
          <w:szCs w:val="26"/>
        </w:rPr>
        <w:t>(72 point – 1.5 year)</w:t>
      </w:r>
      <w:r w:rsidR="00FF72A9">
        <w:rPr>
          <w:rFonts w:ascii="Century Gothic" w:hAnsi="Century Gothic"/>
          <w:b/>
          <w:bCs/>
          <w:color w:val="231F20"/>
          <w:sz w:val="24"/>
          <w:szCs w:val="26"/>
        </w:rPr>
        <w:t xml:space="preserve"> – Coursework only</w:t>
      </w:r>
    </w:p>
    <w:p w14:paraId="46E99BAA" w14:textId="77777777" w:rsidR="008C6531" w:rsidRDefault="008C6531" w:rsidP="008C6531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Semester </w:t>
      </w:r>
      <w:r w:rsidR="00087A3D">
        <w:rPr>
          <w:bCs/>
          <w:color w:val="231F20"/>
        </w:rPr>
        <w:t>2</w:t>
      </w:r>
    </w:p>
    <w:p w14:paraId="0B05A705" w14:textId="77777777" w:rsidR="008C6531" w:rsidRDefault="008C6531" w:rsidP="008C6531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Pr="0079051F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2302277E" w14:textId="6F0925F0" w:rsidR="00151B78" w:rsidRDefault="00151B78" w:rsidP="008C6531">
      <w:pPr>
        <w:pStyle w:val="Heading2"/>
        <w:spacing w:line="244" w:lineRule="exact"/>
        <w:rPr>
          <w:color w:val="231F20"/>
        </w:rPr>
      </w:pPr>
      <w:r w:rsidRPr="00151B78">
        <w:rPr>
          <w:color w:val="231F20"/>
          <w:shd w:val="clear" w:color="auto" w:fill="CAE8F9" w:themeFill="accent5" w:themeFillTint="33"/>
        </w:rPr>
        <w:t xml:space="preserve">    </w:t>
      </w:r>
      <w:r>
        <w:rPr>
          <w:color w:val="231F20"/>
        </w:rPr>
        <w:t xml:space="preserve">  Specialisation 1</w:t>
      </w:r>
    </w:p>
    <w:p w14:paraId="483FCAF9" w14:textId="4D804D06" w:rsidR="00151B78" w:rsidRDefault="00151B78" w:rsidP="008C6531">
      <w:pPr>
        <w:pStyle w:val="Heading2"/>
        <w:spacing w:line="244" w:lineRule="exact"/>
        <w:rPr>
          <w:color w:val="231F20"/>
        </w:rPr>
      </w:pPr>
      <w:r w:rsidRPr="00151B78">
        <w:rPr>
          <w:color w:val="231F20"/>
          <w:shd w:val="clear" w:color="auto" w:fill="FBDACD" w:themeFill="accent2" w:themeFillTint="33"/>
        </w:rPr>
        <w:t xml:space="preserve">    </w:t>
      </w:r>
      <w:r>
        <w:rPr>
          <w:color w:val="231F20"/>
        </w:rPr>
        <w:t xml:space="preserve">  Specialisation 2 </w:t>
      </w:r>
    </w:p>
    <w:p w14:paraId="5DAD938D" w14:textId="5E8A700F" w:rsidR="00991489" w:rsidRPr="00DF625D" w:rsidRDefault="008C6531" w:rsidP="00DF625D">
      <w:pPr>
        <w:pStyle w:val="Heading2"/>
        <w:spacing w:line="244" w:lineRule="exact"/>
        <w:rPr>
          <w:color w:val="231F20"/>
        </w:rPr>
      </w:pPr>
      <w:r w:rsidRPr="008B159E">
        <w:rPr>
          <w:color w:val="231F20"/>
          <w:shd w:val="clear" w:color="auto" w:fill="CCCCFF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67026C8D" w14:textId="77777777" w:rsidR="008C6531" w:rsidRDefault="008C6531" w:rsidP="008C6531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991489" w14:paraId="4244A815" w14:textId="77777777" w:rsidTr="00FF72A9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630B3F60" w14:textId="77777777" w:rsidR="00991489" w:rsidRPr="00983B47" w:rsidRDefault="00991489" w:rsidP="00C82AF7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418B4421" w14:textId="77777777" w:rsidR="00991489" w:rsidRDefault="00991489" w:rsidP="00C82AF7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8B0956C" w14:textId="0CE3311C" w:rsidR="00991489" w:rsidRPr="00FF72A9" w:rsidRDefault="00FF72A9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 xml:space="preserve">Specialisation 1 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C64B16F" w14:textId="2DD298AA" w:rsidR="00991489" w:rsidRPr="00FF72A9" w:rsidRDefault="00FF72A9" w:rsidP="00FF72A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Specialisation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13A59C30" w14:textId="00D79517" w:rsidR="00991489" w:rsidRPr="00FF72A9" w:rsidRDefault="00FF72A9" w:rsidP="00FF72A9">
            <w:pPr>
              <w:pStyle w:val="TableParagraph"/>
              <w:jc w:val="center"/>
              <w:rPr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79476041" w14:textId="49AA0A1B" w:rsidR="00991489" w:rsidRPr="00FF72A9" w:rsidRDefault="00FF72A9" w:rsidP="00FF72A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Option</w:t>
            </w:r>
          </w:p>
        </w:tc>
      </w:tr>
      <w:tr w:rsidR="00991489" w14:paraId="4B649B89" w14:textId="77777777" w:rsidTr="00FF72A9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  <w:vAlign w:val="center"/>
          </w:tcPr>
          <w:p w14:paraId="5EF0FAE1" w14:textId="77777777" w:rsidR="00991489" w:rsidRDefault="00991489" w:rsidP="00C82AF7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2026</w:t>
            </w:r>
          </w:p>
          <w:p w14:paraId="5DD56DFE" w14:textId="77777777" w:rsidR="00991489" w:rsidRDefault="00991489" w:rsidP="00C82AF7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5FE98476" w14:textId="77777777" w:rsidR="00991489" w:rsidRDefault="00991489" w:rsidP="00C82AF7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1C8B7EE2" w14:textId="77777777" w:rsidR="00991489" w:rsidRPr="00983B47" w:rsidRDefault="00991489" w:rsidP="00C82AF7">
            <w:pPr>
              <w:pStyle w:val="TableParagraph"/>
              <w:ind w:left="113" w:right="38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vAlign w:val="center"/>
          </w:tcPr>
          <w:p w14:paraId="2E8F59AD" w14:textId="77777777" w:rsidR="00991489" w:rsidRDefault="00991489" w:rsidP="00C82AF7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ADD57BC" w14:textId="77777777" w:rsidR="00FF72A9" w:rsidRPr="00FF72A9" w:rsidRDefault="00FF72A9" w:rsidP="00FF72A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ECON4402</w:t>
            </w:r>
          </w:p>
          <w:p w14:paraId="03282905" w14:textId="476B281F" w:rsidR="00991489" w:rsidRPr="00FF72A9" w:rsidRDefault="00FF72A9" w:rsidP="00FF72A9">
            <w:pPr>
              <w:pStyle w:val="TableParagraph"/>
              <w:jc w:val="center"/>
              <w:rPr>
                <w:sz w:val="20"/>
                <w:szCs w:val="20"/>
              </w:rPr>
            </w:pPr>
            <w:r w:rsidRPr="00FF72A9">
              <w:rPr>
                <w:sz w:val="20"/>
                <w:szCs w:val="20"/>
              </w:rPr>
              <w:t>Microeconomic Theory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6BA572B" w14:textId="6D933FC1" w:rsidR="00840F89" w:rsidRPr="00FF72A9" w:rsidRDefault="00FF72A9" w:rsidP="00840F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ECON4413</w:t>
            </w:r>
          </w:p>
          <w:p w14:paraId="25AEE8DD" w14:textId="4AD7F272" w:rsidR="00991489" w:rsidRPr="00FF72A9" w:rsidRDefault="00FF72A9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FF72A9">
              <w:rPr>
                <w:sz w:val="20"/>
                <w:szCs w:val="20"/>
              </w:rPr>
              <w:t>Applied Advanced Econometrics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2282167" w14:textId="7F76B960" w:rsidR="00840F89" w:rsidRPr="00FF72A9" w:rsidRDefault="00FF72A9" w:rsidP="00840F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ECON4418</w:t>
            </w:r>
          </w:p>
          <w:p w14:paraId="18965253" w14:textId="482EB0A0" w:rsidR="00991489" w:rsidRPr="00FF72A9" w:rsidRDefault="00FF72A9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FF72A9">
              <w:rPr>
                <w:sz w:val="20"/>
                <w:szCs w:val="20"/>
              </w:rPr>
              <w:t>Macroeconomic Theory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25370918" w14:textId="398E6B3F" w:rsidR="00991489" w:rsidRPr="00FF72A9" w:rsidRDefault="00FF72A9" w:rsidP="00FF72A9">
            <w:pPr>
              <w:pStyle w:val="TableParagraph"/>
              <w:jc w:val="center"/>
              <w:rPr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Specialisation 1</w:t>
            </w:r>
          </w:p>
        </w:tc>
      </w:tr>
      <w:tr w:rsidR="00991489" w14:paraId="1B48A129" w14:textId="77777777" w:rsidTr="00FF72A9">
        <w:trPr>
          <w:cantSplit/>
          <w:trHeight w:val="992"/>
        </w:trPr>
        <w:tc>
          <w:tcPr>
            <w:tcW w:w="400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6DAFAAFD" w14:textId="77777777" w:rsidR="00991489" w:rsidRDefault="00991489" w:rsidP="00C82AF7">
            <w:pPr>
              <w:pStyle w:val="TableParagraph"/>
              <w:spacing w:before="66"/>
              <w:ind w:left="113" w:right="383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073F8C0C" w14:textId="77777777" w:rsidR="00991489" w:rsidRDefault="00991489" w:rsidP="00C82AF7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5D0EF50" w14:textId="37971FA7" w:rsidR="00991489" w:rsidRPr="00FF72A9" w:rsidRDefault="00FF72A9" w:rsidP="00FF72A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Specialisation 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6213BBA5" w14:textId="4969FE3A" w:rsidR="00991489" w:rsidRPr="00FF72A9" w:rsidRDefault="00FF72A9" w:rsidP="00840F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25A867E1" w14:textId="4F21F2AB" w:rsidR="00991489" w:rsidRPr="00FF72A9" w:rsidRDefault="00FF72A9" w:rsidP="00FF72A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BDACD" w:themeFill="accent2" w:themeFillTint="33"/>
            <w:vAlign w:val="center"/>
          </w:tcPr>
          <w:p w14:paraId="1F22F61E" w14:textId="6EC5D6C7" w:rsidR="00991489" w:rsidRPr="00FF72A9" w:rsidRDefault="00FF72A9" w:rsidP="00840F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72A9">
              <w:rPr>
                <w:b/>
                <w:sz w:val="20"/>
                <w:szCs w:val="20"/>
              </w:rPr>
              <w:t>Specialisation 2 or Option</w:t>
            </w:r>
          </w:p>
        </w:tc>
      </w:tr>
    </w:tbl>
    <w:p w14:paraId="4C5B6794" w14:textId="15226C51" w:rsidR="00991489" w:rsidRDefault="00991489" w:rsidP="008C6531">
      <w:pPr>
        <w:pStyle w:val="BodyText"/>
        <w:spacing w:before="11"/>
        <w:rPr>
          <w:sz w:val="16"/>
        </w:rPr>
      </w:pPr>
    </w:p>
    <w:p w14:paraId="71493AE4" w14:textId="77777777" w:rsidR="00C4770B" w:rsidRDefault="00C4770B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 AND SHOULD BE USED AS A GUIDE ONLY</w:t>
      </w:r>
    </w:p>
    <w:p w14:paraId="35092604" w14:textId="7B5437BA" w:rsidR="00151B78" w:rsidRDefault="00C4770B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proofErr w:type="spellStart"/>
      <w:r>
        <w:rPr>
          <w:b/>
          <w:bCs/>
          <w:sz w:val="20"/>
          <w:szCs w:val="20"/>
        </w:rPr>
        <w:t>individualised</w:t>
      </w:r>
      <w:proofErr w:type="spellEnd"/>
      <w:r>
        <w:rPr>
          <w:b/>
          <w:bCs/>
          <w:sz w:val="20"/>
          <w:szCs w:val="20"/>
        </w:rPr>
        <w:t xml:space="preserve"> course advice, please contact the Business School Student Advising Office.</w:t>
      </w:r>
    </w:p>
    <w:p w14:paraId="3AE6C0A1" w14:textId="77777777" w:rsidR="00FF72A9" w:rsidRDefault="00FF72A9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</w:p>
    <w:p w14:paraId="383ECF99" w14:textId="77777777" w:rsidR="00151B78" w:rsidRPr="00151B78" w:rsidRDefault="00151B78" w:rsidP="00151B78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proofErr w:type="spellStart"/>
      <w:r w:rsidRPr="00151B78">
        <w:rPr>
          <w:b/>
          <w:bCs/>
          <w:sz w:val="20"/>
          <w:szCs w:val="20"/>
        </w:rPr>
        <w:t>Specialisations</w:t>
      </w:r>
      <w:proofErr w:type="spellEnd"/>
      <w:r w:rsidRPr="00151B78">
        <w:rPr>
          <w:b/>
          <w:bCs/>
          <w:sz w:val="20"/>
          <w:szCs w:val="20"/>
        </w:rPr>
        <w:t>:</w:t>
      </w:r>
    </w:p>
    <w:p w14:paraId="2845505F" w14:textId="77777777" w:rsidR="00151B78" w:rsidRPr="00CB5CE4" w:rsidRDefault="00151B78" w:rsidP="00151B78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CB5CE4">
        <w:rPr>
          <w:sz w:val="18"/>
          <w:szCs w:val="18"/>
        </w:rPr>
        <w:t xml:space="preserve">Applied Economics – Group B &amp; C </w:t>
      </w:r>
    </w:p>
    <w:p w14:paraId="732FCF67" w14:textId="77777777" w:rsidR="00151B78" w:rsidRPr="00CB5CE4" w:rsidRDefault="00151B78" w:rsidP="00151B78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CB5CE4">
        <w:rPr>
          <w:sz w:val="18"/>
          <w:szCs w:val="18"/>
        </w:rPr>
        <w:t>Environmental Economics – Group E</w:t>
      </w:r>
    </w:p>
    <w:p w14:paraId="3AC329D7" w14:textId="77777777" w:rsidR="00151B78" w:rsidRPr="00CB5CE4" w:rsidRDefault="00151B78" w:rsidP="00151B78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CB5CE4">
        <w:rPr>
          <w:sz w:val="18"/>
          <w:szCs w:val="18"/>
        </w:rPr>
        <w:t>Financial Economics – Group F</w:t>
      </w:r>
    </w:p>
    <w:p w14:paraId="7F422416" w14:textId="3CDCBD3A" w:rsidR="008C6531" w:rsidRPr="00CB5CE4" w:rsidRDefault="00151B78" w:rsidP="008C6531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CB5CE4">
        <w:rPr>
          <w:sz w:val="18"/>
          <w:szCs w:val="18"/>
        </w:rPr>
        <w:t>Health Economics – Group G &amp; H</w:t>
      </w:r>
    </w:p>
    <w:p w14:paraId="53C6A722" w14:textId="77777777" w:rsidR="00CB5CE4" w:rsidRPr="00FF72A9" w:rsidRDefault="00CB5CE4" w:rsidP="00CB5CE4">
      <w:pPr>
        <w:pStyle w:val="ListParagraph"/>
        <w:tabs>
          <w:tab w:val="left" w:pos="1239"/>
          <w:tab w:val="left" w:pos="1240"/>
        </w:tabs>
        <w:suppressAutoHyphens/>
        <w:autoSpaceDE/>
        <w:autoSpaceDN/>
        <w:spacing w:line="244" w:lineRule="exact"/>
        <w:ind w:left="502"/>
        <w:rPr>
          <w:sz w:val="20"/>
          <w:szCs w:val="20"/>
        </w:rPr>
      </w:pPr>
    </w:p>
    <w:p w14:paraId="276F5DF3" w14:textId="77777777" w:rsidR="008C6531" w:rsidRPr="00151B78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151B78">
        <w:rPr>
          <w:b/>
          <w:bCs/>
          <w:sz w:val="20"/>
          <w:szCs w:val="20"/>
        </w:rPr>
        <w:t>Notes</w:t>
      </w:r>
    </w:p>
    <w:p w14:paraId="7673F3CA" w14:textId="77777777" w:rsidR="008C6531" w:rsidRPr="00151B78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151B78">
        <w:rPr>
          <w:sz w:val="18"/>
          <w:szCs w:val="18"/>
        </w:rPr>
        <w:t>Information</w:t>
      </w:r>
      <w:r w:rsidRPr="00151B78">
        <w:rPr>
          <w:spacing w:val="-5"/>
          <w:sz w:val="18"/>
          <w:szCs w:val="18"/>
        </w:rPr>
        <w:t xml:space="preserve"> </w:t>
      </w:r>
      <w:r w:rsidRPr="00151B78">
        <w:rPr>
          <w:sz w:val="18"/>
          <w:szCs w:val="18"/>
        </w:rPr>
        <w:t>about</w:t>
      </w:r>
      <w:r w:rsidRPr="00151B78">
        <w:rPr>
          <w:spacing w:val="-5"/>
          <w:sz w:val="18"/>
          <w:szCs w:val="18"/>
        </w:rPr>
        <w:t xml:space="preserve"> </w:t>
      </w:r>
      <w:r w:rsidRPr="00151B78">
        <w:rPr>
          <w:sz w:val="18"/>
          <w:szCs w:val="18"/>
        </w:rPr>
        <w:t>unit</w:t>
      </w:r>
      <w:r w:rsidRPr="00151B78">
        <w:rPr>
          <w:spacing w:val="-6"/>
          <w:sz w:val="18"/>
          <w:szCs w:val="18"/>
        </w:rPr>
        <w:t xml:space="preserve"> </w:t>
      </w:r>
      <w:r w:rsidRPr="00151B78">
        <w:rPr>
          <w:sz w:val="18"/>
          <w:szCs w:val="18"/>
        </w:rPr>
        <w:t>availability</w:t>
      </w:r>
      <w:r w:rsidRPr="00151B78">
        <w:rPr>
          <w:spacing w:val="-5"/>
          <w:sz w:val="18"/>
          <w:szCs w:val="18"/>
        </w:rPr>
        <w:t xml:space="preserve"> </w:t>
      </w:r>
      <w:r w:rsidRPr="00151B78">
        <w:rPr>
          <w:sz w:val="18"/>
          <w:szCs w:val="18"/>
        </w:rPr>
        <w:t>should</w:t>
      </w:r>
      <w:r w:rsidRPr="00151B78">
        <w:rPr>
          <w:spacing w:val="-3"/>
          <w:sz w:val="18"/>
          <w:szCs w:val="18"/>
        </w:rPr>
        <w:t xml:space="preserve"> </w:t>
      </w:r>
      <w:r w:rsidRPr="00151B78">
        <w:rPr>
          <w:sz w:val="18"/>
          <w:szCs w:val="18"/>
        </w:rPr>
        <w:t>be</w:t>
      </w:r>
      <w:r w:rsidRPr="00151B78">
        <w:rPr>
          <w:spacing w:val="-4"/>
          <w:sz w:val="18"/>
          <w:szCs w:val="18"/>
        </w:rPr>
        <w:t xml:space="preserve"> </w:t>
      </w:r>
      <w:r w:rsidRPr="00151B78">
        <w:rPr>
          <w:sz w:val="18"/>
          <w:szCs w:val="18"/>
        </w:rPr>
        <w:t>checked</w:t>
      </w:r>
      <w:r w:rsidRPr="00151B78">
        <w:rPr>
          <w:spacing w:val="-4"/>
          <w:sz w:val="18"/>
          <w:szCs w:val="18"/>
        </w:rPr>
        <w:t xml:space="preserve"> </w:t>
      </w:r>
      <w:r w:rsidRPr="00151B78">
        <w:rPr>
          <w:sz w:val="18"/>
          <w:szCs w:val="18"/>
        </w:rPr>
        <w:t>at</w:t>
      </w:r>
      <w:r w:rsidRPr="00151B78">
        <w:rPr>
          <w:spacing w:val="-3"/>
          <w:sz w:val="18"/>
          <w:szCs w:val="18"/>
        </w:rPr>
        <w:t xml:space="preserve"> </w:t>
      </w:r>
      <w:r w:rsidRPr="00151B78">
        <w:rPr>
          <w:sz w:val="18"/>
          <w:szCs w:val="18"/>
        </w:rPr>
        <w:t>the</w:t>
      </w:r>
      <w:r w:rsidRPr="00151B78">
        <w:rPr>
          <w:spacing w:val="-1"/>
          <w:sz w:val="18"/>
          <w:szCs w:val="18"/>
        </w:rPr>
        <w:t xml:space="preserve"> </w:t>
      </w:r>
      <w:r w:rsidRPr="00151B78">
        <w:rPr>
          <w:sz w:val="18"/>
          <w:szCs w:val="18"/>
        </w:rPr>
        <w:t>beginning</w:t>
      </w:r>
      <w:r w:rsidRPr="00151B78">
        <w:rPr>
          <w:spacing w:val="-2"/>
          <w:sz w:val="18"/>
          <w:szCs w:val="18"/>
        </w:rPr>
        <w:t xml:space="preserve"> </w:t>
      </w:r>
      <w:r w:rsidRPr="00151B78">
        <w:rPr>
          <w:sz w:val="18"/>
          <w:szCs w:val="18"/>
        </w:rPr>
        <w:t>of</w:t>
      </w:r>
      <w:r w:rsidRPr="00151B78">
        <w:rPr>
          <w:spacing w:val="-4"/>
          <w:sz w:val="18"/>
          <w:szCs w:val="18"/>
        </w:rPr>
        <w:t xml:space="preserve"> </w:t>
      </w:r>
      <w:r w:rsidRPr="00151B78">
        <w:rPr>
          <w:sz w:val="18"/>
          <w:szCs w:val="18"/>
        </w:rPr>
        <w:t>each</w:t>
      </w:r>
      <w:r w:rsidRPr="00151B78">
        <w:rPr>
          <w:spacing w:val="-3"/>
          <w:sz w:val="18"/>
          <w:szCs w:val="18"/>
        </w:rPr>
        <w:t xml:space="preserve"> </w:t>
      </w:r>
      <w:r w:rsidRPr="00151B78">
        <w:rPr>
          <w:sz w:val="18"/>
          <w:szCs w:val="18"/>
        </w:rPr>
        <w:t>semester</w:t>
      </w:r>
      <w:r w:rsidRPr="00151B78">
        <w:rPr>
          <w:spacing w:val="-3"/>
          <w:sz w:val="18"/>
          <w:szCs w:val="18"/>
        </w:rPr>
        <w:t xml:space="preserve"> </w:t>
      </w:r>
      <w:r w:rsidRPr="00151B78">
        <w:rPr>
          <w:sz w:val="18"/>
          <w:szCs w:val="18"/>
        </w:rPr>
        <w:t>and</w:t>
      </w:r>
      <w:r w:rsidRPr="00151B78">
        <w:rPr>
          <w:spacing w:val="-5"/>
          <w:sz w:val="18"/>
          <w:szCs w:val="18"/>
        </w:rPr>
        <w:t xml:space="preserve"> </w:t>
      </w:r>
      <w:r w:rsidRPr="00151B78">
        <w:rPr>
          <w:sz w:val="18"/>
          <w:szCs w:val="18"/>
        </w:rPr>
        <w:t>can</w:t>
      </w:r>
      <w:r w:rsidRPr="00151B78">
        <w:rPr>
          <w:spacing w:val="-2"/>
          <w:sz w:val="18"/>
          <w:szCs w:val="18"/>
        </w:rPr>
        <w:t xml:space="preserve"> </w:t>
      </w:r>
      <w:r w:rsidRPr="00151B78">
        <w:rPr>
          <w:sz w:val="18"/>
          <w:szCs w:val="18"/>
        </w:rPr>
        <w:t>be</w:t>
      </w:r>
      <w:r w:rsidRPr="00151B78">
        <w:rPr>
          <w:spacing w:val="1"/>
          <w:sz w:val="18"/>
          <w:szCs w:val="18"/>
        </w:rPr>
        <w:t xml:space="preserve"> </w:t>
      </w:r>
      <w:r w:rsidRPr="00151B78">
        <w:rPr>
          <w:sz w:val="18"/>
          <w:szCs w:val="18"/>
        </w:rPr>
        <w:t xml:space="preserve">found in the </w:t>
      </w:r>
      <w:hyperlink r:id="rId11" w:history="1">
        <w:r w:rsidRPr="00151B78">
          <w:rPr>
            <w:rStyle w:val="Hyperlink"/>
            <w:sz w:val="18"/>
            <w:szCs w:val="18"/>
          </w:rPr>
          <w:t>Handbook</w:t>
        </w:r>
      </w:hyperlink>
      <w:r w:rsidR="0047701D" w:rsidRPr="00151B78">
        <w:rPr>
          <w:rStyle w:val="Hyperlink"/>
          <w:sz w:val="18"/>
          <w:szCs w:val="18"/>
        </w:rPr>
        <w:t xml:space="preserve"> </w:t>
      </w:r>
    </w:p>
    <w:p w14:paraId="595C7548" w14:textId="77777777" w:rsidR="008C6531" w:rsidRPr="00151B78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151B78">
        <w:rPr>
          <w:sz w:val="18"/>
          <w:szCs w:val="18"/>
        </w:rPr>
        <w:t>Plan ahead</w:t>
      </w:r>
      <w:proofErr w:type="gramEnd"/>
      <w:r w:rsidRPr="00151B78">
        <w:rPr>
          <w:sz w:val="18"/>
          <w:szCs w:val="18"/>
        </w:rPr>
        <w:t>! Look at prerequisite requirements in the Handbook. For example: ACCT5633 requires prerequisite unit ACCT5432.</w:t>
      </w:r>
    </w:p>
    <w:p w14:paraId="4B0C3062" w14:textId="77777777" w:rsidR="008C6531" w:rsidRDefault="008C6531" w:rsidP="008C6531">
      <w:pPr>
        <w:rPr>
          <w:sz w:val="16"/>
          <w:szCs w:val="16"/>
        </w:rPr>
      </w:pPr>
    </w:p>
    <w:p w14:paraId="31CDCB67" w14:textId="77777777" w:rsidR="008C6531" w:rsidRPr="00DA16F6" w:rsidRDefault="008C6531" w:rsidP="008C6531">
      <w:pPr>
        <w:pStyle w:val="Heading2"/>
        <w:spacing w:line="244" w:lineRule="exact"/>
        <w:rPr>
          <w:sz w:val="12"/>
          <w:szCs w:val="12"/>
        </w:rPr>
      </w:pPr>
    </w:p>
    <w:sectPr w:rsidR="008C6531" w:rsidRPr="00DA16F6" w:rsidSect="008C6531">
      <w:headerReference w:type="default" r:id="rId12"/>
      <w:footerReference w:type="default" r:id="rId13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7181" w14:textId="77777777" w:rsidR="00151B78" w:rsidRDefault="00151B78">
      <w:r>
        <w:separator/>
      </w:r>
    </w:p>
  </w:endnote>
  <w:endnote w:type="continuationSeparator" w:id="0">
    <w:p w14:paraId="4253F8D3" w14:textId="77777777" w:rsidR="00151B78" w:rsidRDefault="00151B78">
      <w:r>
        <w:continuationSeparator/>
      </w:r>
    </w:p>
  </w:endnote>
  <w:endnote w:type="continuationNotice" w:id="1">
    <w:p w14:paraId="304D8A3A" w14:textId="77777777" w:rsidR="00151B78" w:rsidRDefault="00151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3869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11C0E2AC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2FC4AD36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32DC" w14:textId="77777777" w:rsidR="00151B78" w:rsidRDefault="00151B78">
      <w:r>
        <w:separator/>
      </w:r>
    </w:p>
  </w:footnote>
  <w:footnote w:type="continuationSeparator" w:id="0">
    <w:p w14:paraId="292893A3" w14:textId="77777777" w:rsidR="00151B78" w:rsidRDefault="00151B78">
      <w:r>
        <w:continuationSeparator/>
      </w:r>
    </w:p>
  </w:footnote>
  <w:footnote w:type="continuationNotice" w:id="1">
    <w:p w14:paraId="70BA3573" w14:textId="77777777" w:rsidR="00151B78" w:rsidRDefault="00151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959A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BD3E3BD" wp14:editId="7AD497E2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AB0DFF4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3E3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0AB0DFF4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8D3AB38" wp14:editId="7B5C4F65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10CF4D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F5EBD8B" wp14:editId="109A4E0C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74723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3750E427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EBD8B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28574723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3750E427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738"/>
        </w:tabs>
        <w:ind w:left="502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103F7"/>
    <w:multiLevelType w:val="hybridMultilevel"/>
    <w:tmpl w:val="81368420"/>
    <w:lvl w:ilvl="0" w:tplc="338263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9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9"/>
  </w:num>
  <w:num w:numId="5" w16cid:durableId="1460877942">
    <w:abstractNumId w:val="10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  <w:num w:numId="11" w16cid:durableId="184514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2797D"/>
    <w:rsid w:val="0003089C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841D3"/>
    <w:rsid w:val="00087A3D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1B78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0D72"/>
    <w:rsid w:val="00395087"/>
    <w:rsid w:val="00397C17"/>
    <w:rsid w:val="003A5134"/>
    <w:rsid w:val="003A60ED"/>
    <w:rsid w:val="003B3584"/>
    <w:rsid w:val="003B483E"/>
    <w:rsid w:val="003B69E6"/>
    <w:rsid w:val="003B6E08"/>
    <w:rsid w:val="003C2818"/>
    <w:rsid w:val="003C5075"/>
    <w:rsid w:val="003C5DEE"/>
    <w:rsid w:val="003D06F8"/>
    <w:rsid w:val="003D4FA0"/>
    <w:rsid w:val="003D6CFB"/>
    <w:rsid w:val="003E7829"/>
    <w:rsid w:val="003F5635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4FAF"/>
    <w:rsid w:val="00437E41"/>
    <w:rsid w:val="00442AE3"/>
    <w:rsid w:val="00443F1D"/>
    <w:rsid w:val="0045278B"/>
    <w:rsid w:val="00452F61"/>
    <w:rsid w:val="0045302D"/>
    <w:rsid w:val="00455D17"/>
    <w:rsid w:val="00456167"/>
    <w:rsid w:val="00462BD9"/>
    <w:rsid w:val="004716CE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E4F21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0F89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A74"/>
    <w:rsid w:val="009837B1"/>
    <w:rsid w:val="00983B47"/>
    <w:rsid w:val="00983CD4"/>
    <w:rsid w:val="0099110F"/>
    <w:rsid w:val="00991489"/>
    <w:rsid w:val="00993051"/>
    <w:rsid w:val="00995079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63F6"/>
    <w:rsid w:val="00A16D41"/>
    <w:rsid w:val="00A20F14"/>
    <w:rsid w:val="00A22A70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349D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0134"/>
    <w:rsid w:val="00CB12DE"/>
    <w:rsid w:val="00CB3D5C"/>
    <w:rsid w:val="00CB5CE4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87"/>
    <w:rsid w:val="00DF41F1"/>
    <w:rsid w:val="00DF5EB2"/>
    <w:rsid w:val="00DF625D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1A4F"/>
    <w:rsid w:val="00E82857"/>
    <w:rsid w:val="00E861D1"/>
    <w:rsid w:val="00E86454"/>
    <w:rsid w:val="00E935C3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2F295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sharepoint/v3"/>
    <ds:schemaRef ds:uri="8aacef4b-15e4-400e-a38b-fd62a8cac48a"/>
    <ds:schemaRef ds:uri="http://purl.org/dc/elements/1.1/"/>
    <ds:schemaRef ds:uri="http://www.w3.org/XML/1998/namespace"/>
    <ds:schemaRef ds:uri="1a2be4b7-5498-4157-9911-ddd69cf2a7ad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150A0-03BB-4C3A-A723-41F0CC10110E}"/>
</file>

<file path=customXml/itemProps4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2020-11-18T23:36:00Z</cp:lastPrinted>
  <dcterms:created xsi:type="dcterms:W3CDTF">2025-07-03T07:22:00Z</dcterms:created>
  <dcterms:modified xsi:type="dcterms:W3CDTF">2025-07-03T07:22:00Z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